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91 vom 25. November 2024</w:t>
      </w:r>
    </w:p>
    <w:p>
      <w:r>
        <w:t>GR Gerichte, 2024-11-25, DE</w:t>
      </w:r>
    </w:p>
    <w:p>
      <w:r>
        <w:rPr>
          <w:b/>
        </w:rPr>
        <w:t xml:space="preserve">Quelle: </w:t>
      </w:r>
      <w:r>
        <w:t>https://mcp.opencaselaw.ch/entscheid/gr_gerichte_KSK 2024 91</w:t>
      </w:r>
    </w:p>
    <w:p>
      <w:r>
        <w:t>FR: GR_GERICHTE KSK 2024 91 du 25 novembre 2024</w:t>
      </w:r>
    </w:p>
    <w:p>
      <w:r>
        <w:t>IT: GR_GERICHTE KSK 2024 91 del 25 novembre 2024</w:t>
      </w:r>
    </w:p>
    <w:p>
      <w:pPr>
        <w:pStyle w:val="Heading2"/>
      </w:pPr>
      <w:r>
        <w:t>Regeste</w:t>
      </w:r>
    </w:p>
    <w:p>
      <w:r>
        <w:t>Rechtsöffnung | Beschwerde Rechtsöffnung</w:t>
      </w:r>
    </w:p>
    <w:p>
      <w:pPr>
        <w:pStyle w:val="Heading2"/>
      </w:pPr>
      <w:r>
        <w:t>Erwägungen</w:t>
      </w:r>
    </w:p>
    <w:p>
      <w:r>
        <w:rPr>
          <w:b/>
        </w:rPr>
        <w:t>E. 4</w:t>
      </w:r>
    </w:p>
    <w:p>
      <w:r>
        <w:t>/ 6 schreiben über die Rechtspflege in AHV/IV/EL/EO/FamZLw/ÜL, Stand 1. Juli 2024, Rz. 1037 f.). Vollstreckbare Verfügungen von Ausgleichkassen, die auf Geldzahlung gerichtet sind, stehen vollstreckbaren Urteilen i.S.v. Art. 80 SchKG gleich (Art. 54 Abs. 2 ATSG; Daniel Staehelin, in: Staehelin/Bauer/Lorandi [Hrsg.], Basler Kommentar, Bundesgesetz über Schuldbetreibung und Konkurs I, 3. Aufl., Basel 2021, N 108 zu Art. 80 SchKG). Gemäss Art. 81 Abs. 1 SchKG wird die de- finitive Rechtsöffnung erteilt, wenn die Forderung auf einem vollstreckbaren Ent- scheid einer schweizerischen Verwaltungsbehörde beruht, wenn nicht der Betrie- bene durch Urkunden beweist, dass die Schuld seit Erlass des Entscheids getilgt oder gestundet worden ist, oder die Verjährung anruft. Dabei kann Tilgung auch durch Erlass erfolgen (Staehelin, a.a.O., N 15 zu Art. 81 SchKG). Nicht zu hören ist die Einrede des Schuldners, er sei zahlungsunfähig (Staehelin, a.a.O, N 18 zu Art. 81 SchKG m.w.H.). Bei AHV-Beiträgen können die Pflichtigen lediglich einwenden (Art. 81 Abs. 1 SchKG), die Beitragsschuld sei durch Zahlung oder auf andere Weise ganz oder teilweise getilgt worden bzw. erloschen, ihnen sei ein Zahlungsaufschub gewährt worden oder die Beitragsforderung sei herabgesetzt oder erlassen worden (vgl. Bundesamt für Sozialversicherungen BSV, Wegleitung über den Bezug der Bei- träge in der AHV, IV und EO [WBB], Stand 1. Januar 2024, Rz. 2183 i.V.m. Rz. 6021). Ein Gesuch um Herabsetzung oder Erlass der persönlichen Beiträge hindert weder die Einleitung noch die Fortführung eines Betreibungsverfahrens (BGE 117 V 185 E. 2c). Die Ausgleichskasse hat über den Erlass auf Gesuch hin durch eine Verfügung zu befinden (Art. 32 AHVV). 2.3. Im vorliegenden Fall liegt für die Verfügung betreffend provisorische Bei- tragsrechnung für das Jahr 2024 (Abrechnungs-Nr. C._____) eine Rechtskraftbe- scheinigung vor (RG act. II/2). Gegen die betreffende Verfügung war nämlich kei- ne Einsprache erhoben worden, obwohl die Verfügung eine Rechtsmittelbelehrung enthielt (RG act. II/1, S. 2). Folglich hätte der Beschwerdeführer der Vorinstanz als Rechtsöffnungsgericht durch Urkunden, d.h. durch das Einreichen einer Erlassver- fügung, nachweisen müssen, dass eine Tilgung seiner Schuld durch Erlass erfolgt ist. Das hat er nicht getan bzw. konnte er nicht, weil seine Gesuche, wie er selbst ausführt, abgelehnt worden sind. Der blosse Umstand, dass er Erlassgesuche ge- stellt hat, hindert die Betreibung gestützt auf rechtskräftig gewordene Beitragsver- fügungen nicht. Auch der Einwand der Zahlungsunfähigkeit hätte keinen Grund bilden können, um das Rechtsöffnungsgesuch abzuweisen. 3. Gemäss den vorstehenden Ausführungen erweist sich die Beschwerde als offensichtlich unbegründet. Das Gesuch um unentgeltliche Rechtspflege (KSK 24</w:t>
      </w:r>
    </w:p>
    <w:p>
      <w:r>
        <w:rPr>
          <w:b/>
        </w:rPr>
        <w:t>E. 5</w:t>
      </w:r>
    </w:p>
    <w:p>
      <w:r>
        <w:t>/ 6 92) ist mit separater Verfügung von heute zufolge Aussichtlosigkeit abzuweisen (Art. 117 lit. b ZPO). Die Gerichtskosten für das Beschwerdeverfahren werden auf CHF 150.00 festgelegt (Art. 48 i.V.m. Art. 61 GebV SchKG). Sie gehen zulasten des Beschwerdeführers (Art. 106 Abs. 1 ZPO). Der Beschwerdegegnerin ist man- gels Aufwand keine Parteientschädigung zuzusprechen.</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